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都江堰市中医医院锅炉维保项目需求</w:t>
      </w:r>
    </w:p>
    <w:p>
      <w:pPr>
        <w:jc w:val="center"/>
      </w:pPr>
    </w:p>
    <w:p>
      <w:pPr>
        <w:pStyle w:val="2"/>
        <w:keepNext w:val="0"/>
        <w:keepLines w:val="0"/>
        <w:pageBreakBefore w:val="0"/>
        <w:widowControl w:val="0"/>
        <w:kinsoku/>
        <w:wordWrap/>
        <w:overflowPunct/>
        <w:topLinePunct w:val="0"/>
        <w:autoSpaceDE/>
        <w:autoSpaceDN/>
        <w:bidi w:val="0"/>
        <w:adjustRightInd/>
        <w:snapToGrid/>
        <w:spacing w:line="600" w:lineRule="exact"/>
        <w:ind w:left="2" w:right="151" w:firstLine="589"/>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一</w:t>
      </w:r>
      <w:r>
        <w:rPr>
          <w:rFonts w:hint="eastAsia" w:ascii="仿宋_GB2312" w:hAnsi="仿宋_GB2312" w:eastAsia="仿宋_GB2312" w:cs="仿宋_GB2312"/>
          <w:spacing w:val="-60"/>
          <w:sz w:val="32"/>
          <w:szCs w:val="32"/>
        </w:rPr>
        <w:t xml:space="preserve"> </w:t>
      </w:r>
      <w:r>
        <w:rPr>
          <w:rFonts w:hint="eastAsia" w:ascii="仿宋_GB2312" w:hAnsi="仿宋_GB2312" w:eastAsia="仿宋_GB2312" w:cs="仿宋_GB2312"/>
          <w:spacing w:val="-13"/>
          <w:sz w:val="32"/>
          <w:szCs w:val="32"/>
        </w:rPr>
        <w:t>、根据《特种设备安全管理监察条例》维保单位和维保个人</w:t>
      </w:r>
      <w:r>
        <w:rPr>
          <w:rFonts w:hint="eastAsia" w:ascii="仿宋_GB2312" w:hAnsi="仿宋_GB2312" w:eastAsia="仿宋_GB2312" w:cs="仿宋_GB2312"/>
          <w:spacing w:val="-14"/>
          <w:sz w:val="32"/>
          <w:szCs w:val="32"/>
        </w:rPr>
        <w:t>必须具备合格的在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有效内的证件(营业执照、特种设备维修许可证、压力管道安装维修许可证、司炉工</w:t>
      </w:r>
      <w:r>
        <w:rPr>
          <w:rFonts w:hint="eastAsia" w:ascii="仿宋_GB2312" w:hAnsi="仿宋_GB2312" w:eastAsia="仿宋_GB2312" w:cs="仿宋_GB2312"/>
          <w:spacing w:val="-2"/>
          <w:sz w:val="32"/>
          <w:szCs w:val="32"/>
        </w:rPr>
        <w:t>证、水处理证)</w:t>
      </w:r>
    </w:p>
    <w:p>
      <w:pPr>
        <w:pStyle w:val="2"/>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8"/>
          <w:position w:val="14"/>
          <w:sz w:val="32"/>
          <w:szCs w:val="32"/>
          <w:lang w:val="en-US" w:eastAsia="zh-CN"/>
        </w:rPr>
        <w:t>二、</w:t>
      </w:r>
      <w:r>
        <w:rPr>
          <w:rFonts w:hint="eastAsia" w:ascii="仿宋_GB2312" w:hAnsi="仿宋_GB2312" w:eastAsia="仿宋_GB2312" w:cs="仿宋_GB2312"/>
          <w:spacing w:val="-8"/>
          <w:position w:val="14"/>
          <w:sz w:val="32"/>
          <w:szCs w:val="32"/>
        </w:rPr>
        <w:t>维保所需的人工费、交通费、住宿费、利润、税金、风险等一切费用由维保</w:t>
      </w:r>
      <w:r>
        <w:rPr>
          <w:rFonts w:hint="eastAsia" w:ascii="仿宋_GB2312" w:hAnsi="仿宋_GB2312" w:eastAsia="仿宋_GB2312" w:cs="仿宋_GB2312"/>
          <w:spacing w:val="-8"/>
          <w:position w:val="14"/>
          <w:sz w:val="32"/>
          <w:szCs w:val="32"/>
          <w:lang w:val="en-US" w:eastAsia="zh-CN"/>
        </w:rPr>
        <w:t>公司承担。</w:t>
      </w:r>
    </w:p>
    <w:p>
      <w:pPr>
        <w:pStyle w:val="2"/>
        <w:keepNext w:val="0"/>
        <w:keepLines w:val="0"/>
        <w:pageBreakBefore w:val="0"/>
        <w:widowControl w:val="0"/>
        <w:kinsoku/>
        <w:wordWrap/>
        <w:overflowPunct/>
        <w:topLinePunct w:val="0"/>
        <w:autoSpaceDE/>
        <w:autoSpaceDN/>
        <w:bidi w:val="0"/>
        <w:adjustRightInd/>
        <w:snapToGrid/>
        <w:spacing w:line="600" w:lineRule="exact"/>
        <w:ind w:left="492"/>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三、维保工作内容：</w:t>
      </w:r>
    </w:p>
    <w:p>
      <w:pPr>
        <w:pStyle w:val="2"/>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1.维保单位首先了解5台锅炉及1台水处理设备本体及系统的运行情况和设备使用的工况在符合依据《蒸汽锅炉安全监察规程》和《水处理设备技术要求》的有关规定的基础上提供全年的维保服务。</w:t>
      </w:r>
    </w:p>
    <w:p>
      <w:pPr>
        <w:pStyle w:val="2"/>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2.维保单位按月、季、年进行定期维保服务，一年内提供应急服务(如果锅炉出现临时紧急故障，维保单位接到通知后2 小时内到达现场，并应迅速排除故障)。</w:t>
      </w:r>
    </w:p>
    <w:p>
      <w:pPr>
        <w:pStyle w:val="2"/>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3.维保单位在日常的维保工作中做好每台锅炉每次日常维保记录和事故记录，在维保期满提交给用户存档，并保证报送至当地质检部门通过年检。</w:t>
      </w:r>
    </w:p>
    <w:p>
      <w:pPr>
        <w:pStyle w:val="2"/>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4.维保单位协助</w:t>
      </w:r>
      <w:r>
        <w:rPr>
          <w:rFonts w:hint="eastAsia" w:ascii="仿宋_GB2312" w:hAnsi="仿宋_GB2312" w:eastAsia="仿宋_GB2312" w:cs="仿宋_GB2312"/>
          <w:spacing w:val="-4"/>
          <w:sz w:val="32"/>
          <w:szCs w:val="32"/>
          <w:lang w:val="en-US" w:eastAsia="zh-CN"/>
        </w:rPr>
        <w:t>院方</w:t>
      </w:r>
      <w:r>
        <w:rPr>
          <w:rFonts w:hint="eastAsia" w:ascii="仿宋_GB2312" w:hAnsi="仿宋_GB2312" w:eastAsia="仿宋_GB2312" w:cs="仿宋_GB2312"/>
          <w:spacing w:val="-4"/>
          <w:sz w:val="32"/>
          <w:szCs w:val="32"/>
        </w:rPr>
        <w:t>按时做好锅炉的年检工作，监督及提醒</w:t>
      </w:r>
      <w:r>
        <w:rPr>
          <w:rFonts w:hint="eastAsia" w:ascii="仿宋_GB2312" w:hAnsi="仿宋_GB2312" w:eastAsia="仿宋_GB2312" w:cs="仿宋_GB2312"/>
          <w:spacing w:val="-4"/>
          <w:sz w:val="32"/>
          <w:szCs w:val="32"/>
          <w:lang w:val="en-US" w:eastAsia="zh-CN"/>
        </w:rPr>
        <w:t>院方</w:t>
      </w:r>
      <w:r>
        <w:rPr>
          <w:rFonts w:hint="eastAsia" w:ascii="仿宋_GB2312" w:hAnsi="仿宋_GB2312" w:eastAsia="仿宋_GB2312" w:cs="仿宋_GB2312"/>
          <w:spacing w:val="-4"/>
          <w:sz w:val="32"/>
          <w:szCs w:val="32"/>
        </w:rPr>
        <w:t>提前准备、提前维护，确保年检安全质量合格。</w:t>
      </w:r>
    </w:p>
    <w:p>
      <w:pPr>
        <w:pStyle w:val="2"/>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5.维保单位在日常的维保工作中做好</w:t>
      </w:r>
      <w:r>
        <w:rPr>
          <w:rFonts w:hint="eastAsia" w:ascii="仿宋_GB2312" w:hAnsi="仿宋_GB2312" w:eastAsia="仿宋_GB2312" w:cs="仿宋_GB2312"/>
          <w:spacing w:val="-4"/>
          <w:sz w:val="32"/>
          <w:szCs w:val="32"/>
          <w:lang w:val="en-US" w:eastAsia="zh-CN"/>
        </w:rPr>
        <w:t>每台</w:t>
      </w:r>
      <w:r>
        <w:rPr>
          <w:rFonts w:hint="eastAsia" w:ascii="仿宋_GB2312" w:hAnsi="仿宋_GB2312" w:eastAsia="仿宋_GB2312" w:cs="仿宋_GB2312"/>
          <w:spacing w:val="-4"/>
          <w:sz w:val="32"/>
          <w:szCs w:val="32"/>
        </w:rPr>
        <w:t>锅炉每次日常维保记录和事故记录,并在维保期满提交给</w:t>
      </w:r>
      <w:r>
        <w:rPr>
          <w:rFonts w:hint="eastAsia" w:ascii="仿宋_GB2312" w:hAnsi="仿宋_GB2312" w:eastAsia="仿宋_GB2312" w:cs="仿宋_GB2312"/>
          <w:spacing w:val="-4"/>
          <w:sz w:val="32"/>
          <w:szCs w:val="32"/>
          <w:lang w:val="en-US" w:eastAsia="zh-CN"/>
        </w:rPr>
        <w:t>院方</w:t>
      </w:r>
      <w:r>
        <w:rPr>
          <w:rFonts w:hint="eastAsia" w:ascii="仿宋_GB2312" w:hAnsi="仿宋_GB2312" w:eastAsia="仿宋_GB2312" w:cs="仿宋_GB2312"/>
          <w:spacing w:val="-4"/>
          <w:sz w:val="32"/>
          <w:szCs w:val="32"/>
        </w:rPr>
        <w:t>存档。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5"/>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5"/>
          <w:sz w:val="32"/>
          <w:szCs w:val="32"/>
        </w:rPr>
      </w:pPr>
      <w:bookmarkStart w:id="0" w:name="_GoBack"/>
      <w:bookmarkEnd w:id="0"/>
      <w:r>
        <w:rPr>
          <w:rFonts w:hint="eastAsia" w:ascii="仿宋_GB2312" w:hAnsi="仿宋_GB2312" w:eastAsia="仿宋_GB2312" w:cs="仿宋_GB2312"/>
          <w:spacing w:val="-15"/>
          <w:sz w:val="32"/>
          <w:szCs w:val="32"/>
        </w:rPr>
        <w:t>四、质量要求:</w:t>
      </w:r>
    </w:p>
    <w:p>
      <w:pPr>
        <w:keepNext w:val="0"/>
        <w:keepLines w:val="0"/>
        <w:pageBreakBefore w:val="0"/>
        <w:widowControl w:val="0"/>
        <w:kinsoku/>
        <w:wordWrap/>
        <w:overflowPunct/>
        <w:topLinePunct w:val="0"/>
        <w:autoSpaceDE/>
        <w:autoSpaceDN/>
        <w:bidi w:val="0"/>
        <w:adjustRightInd/>
        <w:snapToGrid/>
        <w:spacing w:line="600" w:lineRule="exact"/>
        <w:ind w:firstLine="5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维保单位按锅炉维保设备及水处理设备的相关工作内容及质量要求，完成对锅炉及水处理的维保内容，并使其锅炉维保质量达到国家质监部门规定的有关维保质量要求，确保锅炉及水处理设备正常、安全运行。维保单位在保养工作中必需严格遵守《特种设备安全监察条例》和认真贯彻《特种设备安全管理》持证上岗，严格按照操作规程对锅炉进行维护，严禁无证操作。</w:t>
      </w:r>
    </w:p>
    <w:p>
      <w:pPr>
        <w:pStyle w:val="2"/>
        <w:spacing w:before="91" w:line="219" w:lineRule="auto"/>
        <w:rPr>
          <w:b/>
          <w:bCs/>
          <w:spacing w:val="-3"/>
          <w:sz w:val="24"/>
          <w:szCs w:val="24"/>
        </w:rPr>
      </w:pPr>
    </w:p>
    <w:p>
      <w:pPr>
        <w:pStyle w:val="2"/>
        <w:spacing w:before="91" w:line="219" w:lineRule="auto"/>
        <w:ind w:left="578"/>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
          <w:bCs/>
          <w:spacing w:val="-3"/>
          <w:sz w:val="24"/>
          <w:szCs w:val="24"/>
        </w:rPr>
        <w:t>维保单位免费提供200.00元以内(含200.00)的锅炉易损零部件更换清单</w:t>
      </w:r>
    </w:p>
    <w:tbl>
      <w:tblPr>
        <w:tblStyle w:val="8"/>
        <w:tblpPr w:leftFromText="180" w:rightFromText="180" w:vertAnchor="text" w:horzAnchor="page" w:tblpX="1592" w:tblpY="90"/>
        <w:tblOverlap w:val="never"/>
        <w:tblW w:w="91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5"/>
        <w:gridCol w:w="3120"/>
        <w:gridCol w:w="4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4" w:hRule="atLeast"/>
        </w:trPr>
        <w:tc>
          <w:tcPr>
            <w:tcW w:w="1505" w:type="dxa"/>
            <w:vAlign w:val="top"/>
          </w:tcPr>
          <w:p>
            <w:pPr>
              <w:pStyle w:val="7"/>
              <w:spacing w:before="145" w:line="221" w:lineRule="auto"/>
              <w:ind w:left="95"/>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序号</w:t>
            </w:r>
          </w:p>
        </w:tc>
        <w:tc>
          <w:tcPr>
            <w:tcW w:w="3120" w:type="dxa"/>
            <w:vAlign w:val="top"/>
          </w:tcPr>
          <w:p>
            <w:pPr>
              <w:pStyle w:val="7"/>
              <w:spacing w:before="166" w:line="208" w:lineRule="auto"/>
              <w:ind w:left="124"/>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名称</w:t>
            </w:r>
          </w:p>
        </w:tc>
        <w:tc>
          <w:tcPr>
            <w:tcW w:w="4525" w:type="dxa"/>
            <w:vAlign w:val="top"/>
          </w:tcPr>
          <w:p>
            <w:pPr>
              <w:pStyle w:val="7"/>
              <w:spacing w:before="166" w:line="208" w:lineRule="auto"/>
              <w:ind w:left="106"/>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1505" w:type="dxa"/>
            <w:vAlign w:val="top"/>
          </w:tcPr>
          <w:p>
            <w:pPr>
              <w:pStyle w:val="7"/>
              <w:spacing w:before="225" w:line="184" w:lineRule="exact"/>
              <w:ind w:left="95"/>
              <w:rPr>
                <w:rFonts w:hint="eastAsia" w:ascii="仿宋_GB2312" w:hAnsi="仿宋_GB2312" w:eastAsia="仿宋_GB2312" w:cs="仿宋_GB2312"/>
                <w:sz w:val="28"/>
                <w:szCs w:val="28"/>
              </w:rPr>
            </w:pPr>
            <w:r>
              <w:rPr>
                <w:rFonts w:hint="eastAsia" w:ascii="仿宋_GB2312" w:hAnsi="仿宋_GB2312" w:eastAsia="仿宋_GB2312" w:cs="仿宋_GB2312"/>
                <w:position w:val="-2"/>
                <w:sz w:val="28"/>
                <w:szCs w:val="28"/>
              </w:rPr>
              <w:t>1</w:t>
            </w:r>
          </w:p>
        </w:tc>
        <w:tc>
          <w:tcPr>
            <w:tcW w:w="3120" w:type="dxa"/>
            <w:vAlign w:val="top"/>
          </w:tcPr>
          <w:p>
            <w:pPr>
              <w:pStyle w:val="7"/>
              <w:spacing w:before="169" w:line="201" w:lineRule="auto"/>
              <w:ind w:left="124"/>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石棉垫</w:t>
            </w:r>
          </w:p>
        </w:tc>
        <w:tc>
          <w:tcPr>
            <w:tcW w:w="4525"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1505" w:type="dxa"/>
            <w:vAlign w:val="top"/>
          </w:tcPr>
          <w:p>
            <w:pPr>
              <w:pStyle w:val="7"/>
              <w:spacing w:before="237" w:line="162" w:lineRule="exact"/>
              <w:ind w:left="95"/>
              <w:rPr>
                <w:rFonts w:hint="eastAsia" w:ascii="仿宋_GB2312" w:hAnsi="仿宋_GB2312" w:eastAsia="仿宋_GB2312" w:cs="仿宋_GB2312"/>
                <w:sz w:val="28"/>
                <w:szCs w:val="28"/>
              </w:rPr>
            </w:pPr>
            <w:r>
              <w:rPr>
                <w:rFonts w:hint="eastAsia" w:ascii="仿宋_GB2312" w:hAnsi="仿宋_GB2312" w:eastAsia="仿宋_GB2312" w:cs="仿宋_GB2312"/>
                <w:position w:val="-3"/>
                <w:sz w:val="28"/>
                <w:szCs w:val="28"/>
              </w:rPr>
              <w:t>2</w:t>
            </w:r>
          </w:p>
        </w:tc>
        <w:tc>
          <w:tcPr>
            <w:tcW w:w="3120" w:type="dxa"/>
            <w:vAlign w:val="top"/>
          </w:tcPr>
          <w:p>
            <w:pPr>
              <w:pStyle w:val="7"/>
              <w:spacing w:before="151" w:line="208" w:lineRule="auto"/>
              <w:ind w:left="124"/>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石棉绳</w:t>
            </w:r>
          </w:p>
        </w:tc>
        <w:tc>
          <w:tcPr>
            <w:tcW w:w="4525"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1505" w:type="dxa"/>
            <w:vAlign w:val="top"/>
          </w:tcPr>
          <w:p>
            <w:pPr>
              <w:pStyle w:val="7"/>
              <w:spacing w:before="158" w:line="183" w:lineRule="auto"/>
              <w:ind w:left="9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120" w:type="dxa"/>
            <w:vAlign w:val="top"/>
          </w:tcPr>
          <w:p>
            <w:pPr>
              <w:pStyle w:val="7"/>
              <w:spacing w:before="103" w:line="221" w:lineRule="auto"/>
              <w:ind w:left="1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DN</w:t>
            </w:r>
            <w:r>
              <w:rPr>
                <w:rFonts w:hint="eastAsia" w:ascii="仿宋_GB2312" w:hAnsi="仿宋_GB2312" w:eastAsia="仿宋_GB2312" w:cs="仿宋_GB2312"/>
                <w:spacing w:val="2"/>
                <w:sz w:val="28"/>
                <w:szCs w:val="28"/>
              </w:rPr>
              <w:t>25以下球阀</w:t>
            </w:r>
          </w:p>
        </w:tc>
        <w:tc>
          <w:tcPr>
            <w:tcW w:w="4525"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1505" w:type="dxa"/>
            <w:vAlign w:val="top"/>
          </w:tcPr>
          <w:p>
            <w:pPr>
              <w:pStyle w:val="7"/>
              <w:spacing w:before="239" w:line="170" w:lineRule="exact"/>
              <w:ind w:left="95"/>
              <w:rPr>
                <w:rFonts w:hint="eastAsia" w:ascii="仿宋_GB2312" w:hAnsi="仿宋_GB2312" w:eastAsia="仿宋_GB2312" w:cs="仿宋_GB2312"/>
                <w:sz w:val="28"/>
                <w:szCs w:val="28"/>
              </w:rPr>
            </w:pPr>
            <w:r>
              <w:rPr>
                <w:rFonts w:hint="eastAsia" w:ascii="仿宋_GB2312" w:hAnsi="仿宋_GB2312" w:eastAsia="仿宋_GB2312" w:cs="仿宋_GB2312"/>
                <w:position w:val="-3"/>
                <w:sz w:val="28"/>
                <w:szCs w:val="28"/>
              </w:rPr>
              <w:t>4</w:t>
            </w:r>
          </w:p>
        </w:tc>
        <w:tc>
          <w:tcPr>
            <w:tcW w:w="3120" w:type="dxa"/>
            <w:vAlign w:val="top"/>
          </w:tcPr>
          <w:p>
            <w:pPr>
              <w:pStyle w:val="7"/>
              <w:spacing w:before="152" w:line="215" w:lineRule="auto"/>
              <w:ind w:left="124"/>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压力控制器</w:t>
            </w:r>
          </w:p>
        </w:tc>
        <w:tc>
          <w:tcPr>
            <w:tcW w:w="4525"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1505" w:type="dxa"/>
            <w:vAlign w:val="top"/>
          </w:tcPr>
          <w:p>
            <w:pPr>
              <w:pStyle w:val="7"/>
              <w:spacing w:before="242" w:line="177" w:lineRule="exact"/>
              <w:ind w:left="95"/>
              <w:rPr>
                <w:rFonts w:hint="eastAsia" w:ascii="仿宋_GB2312" w:hAnsi="仿宋_GB2312" w:eastAsia="仿宋_GB2312" w:cs="仿宋_GB2312"/>
                <w:sz w:val="28"/>
                <w:szCs w:val="28"/>
              </w:rPr>
            </w:pPr>
            <w:r>
              <w:rPr>
                <w:rFonts w:hint="eastAsia" w:ascii="仿宋_GB2312" w:hAnsi="仿宋_GB2312" w:eastAsia="仿宋_GB2312" w:cs="仿宋_GB2312"/>
                <w:position w:val="-2"/>
                <w:sz w:val="28"/>
                <w:szCs w:val="28"/>
              </w:rPr>
              <w:t>5</w:t>
            </w:r>
          </w:p>
        </w:tc>
        <w:tc>
          <w:tcPr>
            <w:tcW w:w="3120" w:type="dxa"/>
            <w:vAlign w:val="top"/>
          </w:tcPr>
          <w:p>
            <w:pPr>
              <w:pStyle w:val="7"/>
              <w:spacing w:before="174" w:line="205" w:lineRule="auto"/>
              <w:ind w:left="124"/>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电源指示灯</w:t>
            </w:r>
          </w:p>
        </w:tc>
        <w:tc>
          <w:tcPr>
            <w:tcW w:w="4525"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1505" w:type="dxa"/>
            <w:vAlign w:val="top"/>
          </w:tcPr>
          <w:p>
            <w:pPr>
              <w:pStyle w:val="7"/>
              <w:spacing w:before="251" w:line="158" w:lineRule="exact"/>
              <w:ind w:left="95"/>
              <w:rPr>
                <w:rFonts w:hint="eastAsia" w:ascii="仿宋_GB2312" w:hAnsi="仿宋_GB2312" w:eastAsia="仿宋_GB2312" w:cs="仿宋_GB2312"/>
                <w:sz w:val="28"/>
                <w:szCs w:val="28"/>
              </w:rPr>
            </w:pPr>
            <w:r>
              <w:rPr>
                <w:rFonts w:hint="eastAsia" w:ascii="仿宋_GB2312" w:hAnsi="仿宋_GB2312" w:eastAsia="仿宋_GB2312" w:cs="仿宋_GB2312"/>
                <w:position w:val="-3"/>
                <w:sz w:val="28"/>
                <w:szCs w:val="28"/>
              </w:rPr>
              <w:t>6</w:t>
            </w:r>
          </w:p>
        </w:tc>
        <w:tc>
          <w:tcPr>
            <w:tcW w:w="3120" w:type="dxa"/>
            <w:vAlign w:val="top"/>
          </w:tcPr>
          <w:p>
            <w:pPr>
              <w:pStyle w:val="7"/>
              <w:spacing w:before="105" w:line="219" w:lineRule="auto"/>
              <w:ind w:left="124"/>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压力表</w:t>
            </w:r>
          </w:p>
        </w:tc>
        <w:tc>
          <w:tcPr>
            <w:tcW w:w="4525"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1505" w:type="dxa"/>
            <w:vAlign w:val="top"/>
          </w:tcPr>
          <w:p>
            <w:pPr>
              <w:pStyle w:val="7"/>
              <w:spacing w:before="163" w:line="182" w:lineRule="auto"/>
              <w:ind w:left="9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120" w:type="dxa"/>
            <w:vAlign w:val="top"/>
          </w:tcPr>
          <w:p>
            <w:pPr>
              <w:pStyle w:val="7"/>
              <w:spacing w:before="106" w:line="220" w:lineRule="auto"/>
              <w:ind w:left="124"/>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控制阀体</w:t>
            </w:r>
          </w:p>
        </w:tc>
        <w:tc>
          <w:tcPr>
            <w:tcW w:w="4525"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1505" w:type="dxa"/>
            <w:vAlign w:val="top"/>
          </w:tcPr>
          <w:p>
            <w:pPr>
              <w:pStyle w:val="7"/>
              <w:spacing w:before="253" w:line="156" w:lineRule="exact"/>
              <w:ind w:left="95"/>
              <w:rPr>
                <w:rFonts w:hint="eastAsia" w:ascii="仿宋_GB2312" w:hAnsi="仿宋_GB2312" w:eastAsia="仿宋_GB2312" w:cs="仿宋_GB2312"/>
                <w:sz w:val="28"/>
                <w:szCs w:val="28"/>
              </w:rPr>
            </w:pPr>
            <w:r>
              <w:rPr>
                <w:rFonts w:hint="eastAsia" w:ascii="仿宋_GB2312" w:hAnsi="仿宋_GB2312" w:eastAsia="仿宋_GB2312" w:cs="仿宋_GB2312"/>
                <w:position w:val="-3"/>
                <w:sz w:val="28"/>
                <w:szCs w:val="28"/>
              </w:rPr>
              <w:t>8</w:t>
            </w:r>
          </w:p>
        </w:tc>
        <w:tc>
          <w:tcPr>
            <w:tcW w:w="3120" w:type="dxa"/>
            <w:vAlign w:val="top"/>
          </w:tcPr>
          <w:p>
            <w:pPr>
              <w:pStyle w:val="7"/>
              <w:spacing w:before="108" w:line="221" w:lineRule="auto"/>
              <w:ind w:left="124"/>
              <w:rPr>
                <w:rFonts w:hint="eastAsia" w:ascii="仿宋_GB2312" w:hAnsi="仿宋_GB2312" w:eastAsia="仿宋_GB2312" w:cs="仿宋_GB2312"/>
                <w:sz w:val="28"/>
                <w:szCs w:val="28"/>
              </w:rPr>
            </w:pPr>
            <w:r>
              <w:rPr>
                <w:rFonts w:hint="eastAsia" w:ascii="仿宋_GB2312" w:hAnsi="仿宋_GB2312" w:eastAsia="仿宋_GB2312" w:cs="仿宋_GB2312"/>
                <w:spacing w:val="29"/>
                <w:sz w:val="28"/>
                <w:szCs w:val="28"/>
              </w:rPr>
              <w:t>阀门</w:t>
            </w:r>
          </w:p>
        </w:tc>
        <w:tc>
          <w:tcPr>
            <w:tcW w:w="4525"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3" w:hRule="atLeast"/>
        </w:trPr>
        <w:tc>
          <w:tcPr>
            <w:tcW w:w="1505" w:type="dxa"/>
            <w:vAlign w:val="top"/>
          </w:tcPr>
          <w:p>
            <w:pPr>
              <w:pStyle w:val="7"/>
              <w:spacing w:before="234" w:line="178" w:lineRule="exact"/>
              <w:ind w:left="95"/>
              <w:rPr>
                <w:rFonts w:hint="eastAsia" w:ascii="仿宋_GB2312" w:hAnsi="仿宋_GB2312" w:eastAsia="仿宋_GB2312" w:cs="仿宋_GB2312"/>
                <w:sz w:val="28"/>
                <w:szCs w:val="28"/>
              </w:rPr>
            </w:pPr>
            <w:r>
              <w:rPr>
                <w:rFonts w:hint="eastAsia" w:ascii="仿宋_GB2312" w:hAnsi="仿宋_GB2312" w:eastAsia="仿宋_GB2312" w:cs="仿宋_GB2312"/>
                <w:position w:val="-2"/>
                <w:sz w:val="28"/>
                <w:szCs w:val="28"/>
              </w:rPr>
              <w:t>9</w:t>
            </w:r>
          </w:p>
        </w:tc>
        <w:tc>
          <w:tcPr>
            <w:tcW w:w="3120" w:type="dxa"/>
            <w:vAlign w:val="top"/>
          </w:tcPr>
          <w:p>
            <w:pPr>
              <w:pStyle w:val="7"/>
              <w:spacing w:before="179" w:line="196" w:lineRule="auto"/>
              <w:ind w:left="124"/>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其它</w:t>
            </w:r>
          </w:p>
        </w:tc>
        <w:tc>
          <w:tcPr>
            <w:tcW w:w="4525" w:type="dxa"/>
            <w:vAlign w:val="top"/>
          </w:tcPr>
          <w:p>
            <w:pPr>
              <w:pStyle w:val="7"/>
              <w:spacing w:before="178" w:line="197" w:lineRule="auto"/>
              <w:ind w:left="106"/>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200.00元以内(含200.00)</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81E57"/>
    <w:rsid w:val="205C4458"/>
    <w:rsid w:val="21EC0254"/>
    <w:rsid w:val="2A860C3E"/>
    <w:rsid w:val="2AB37D6F"/>
    <w:rsid w:val="3FBB6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5"/>
      <w:szCs w:val="25"/>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宋体" w:hAnsi="宋体" w:eastAsia="宋体" w:cs="宋体"/>
      <w:sz w:val="22"/>
      <w:szCs w:val="22"/>
      <w:lang w:val="en-US" w:eastAsia="en-US" w:bidi="ar-SA"/>
    </w:r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2024-07-10T02:33:10Z</dcterms:created>
  <dc:creator>Administrator</dc:creator>
  <cp:lastModifiedBy>Administrator</cp:lastModifiedBy>
  <dcterms:modified xsi:type="dcterms:W3CDTF">2024-07-10T02:45:59Z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